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BFC1" w14:textId="37EE542F" w:rsidR="00A51954" w:rsidRPr="00DB1923" w:rsidRDefault="000D1C17" w:rsidP="00A51954">
      <w:pPr>
        <w:pStyle w:val="Heading1"/>
      </w:pPr>
      <w:r>
        <w:t>Outsourcing repeat prescribing services – advice for GP practices</w:t>
      </w:r>
    </w:p>
    <w:p w14:paraId="1164FDE1" w14:textId="77777777" w:rsidR="00396A3F" w:rsidRDefault="000D1C17" w:rsidP="00A51954">
      <w:r>
        <w:t>S</w:t>
      </w:r>
      <w:r w:rsidR="00C358BE">
        <w:t xml:space="preserve">everal </w:t>
      </w:r>
      <w:r>
        <w:t xml:space="preserve">companies are now offering prescribing services to practices that will provide a non-medical prescribing </w:t>
      </w:r>
      <w:r w:rsidR="00C40D72">
        <w:t xml:space="preserve">(NMP) </w:t>
      </w:r>
      <w:r>
        <w:t>pharmacist to cover some of the practice prescribing needs remotely</w:t>
      </w:r>
      <w:r w:rsidR="00957FB9">
        <w:t xml:space="preserve">. </w:t>
      </w:r>
      <w:r w:rsidR="00C40D72">
        <w:t>This is different to arrangements for employing pharmacists directly to work within the PCN or practice through ARRS funding to meet the requirements of the PCN DES</w:t>
      </w:r>
      <w:r w:rsidR="00957FB9">
        <w:t xml:space="preserve">. Before </w:t>
      </w:r>
      <w:r w:rsidR="005B527F">
        <w:t xml:space="preserve">entering </w:t>
      </w:r>
      <w:r w:rsidR="00957FB9">
        <w:t xml:space="preserve">any such arrangement </w:t>
      </w:r>
      <w:r w:rsidR="005B527F">
        <w:t xml:space="preserve">practices </w:t>
      </w:r>
      <w:r>
        <w:t>should be aware of appropriate governance arrangements and processes to follow</w:t>
      </w:r>
      <w:r w:rsidR="00C40D72">
        <w:t>.</w:t>
      </w:r>
      <w:r w:rsidR="00396A3F">
        <w:t xml:space="preserve"> </w:t>
      </w:r>
    </w:p>
    <w:p w14:paraId="089BB452" w14:textId="41FA403D" w:rsidR="000D1C17" w:rsidRDefault="00396A3F" w:rsidP="00A51954">
      <w:r>
        <w:t>Seek advice from the ICB primary care contracting and medicines optimisation teams.</w:t>
      </w:r>
    </w:p>
    <w:p w14:paraId="22462787" w14:textId="643510EB" w:rsidR="00A51954" w:rsidRPr="00DB1923" w:rsidRDefault="00C40D72" w:rsidP="00A51954">
      <w:pPr>
        <w:pStyle w:val="Heading2"/>
      </w:pPr>
      <w:r>
        <w:t>Considerations:</w:t>
      </w:r>
    </w:p>
    <w:p w14:paraId="726A2810" w14:textId="440DA844" w:rsidR="004E1079" w:rsidRPr="00FA1D60" w:rsidRDefault="004E1079" w:rsidP="00FA1D60">
      <w:pPr>
        <w:pStyle w:val="ListParagraph"/>
        <w:spacing w:before="120" w:after="120" w:line="276" w:lineRule="auto"/>
        <w:ind w:left="641" w:hanging="357"/>
        <w:contextualSpacing w:val="0"/>
        <w:rPr>
          <w:rFonts w:ascii="Calibri" w:hAnsi="Calibri" w:cs="Calibri"/>
        </w:rPr>
      </w:pPr>
      <w:r>
        <w:t>Any sub- contract agreement for clinical service for GMS services will need full ICB approval before starting the arrangements</w:t>
      </w:r>
      <w:r w:rsidR="00957FB9">
        <w:t>.</w:t>
      </w:r>
      <w:r w:rsidR="00D8762F" w:rsidRPr="00D8762F">
        <w:t xml:space="preserve"> </w:t>
      </w:r>
      <w:r w:rsidR="00D8762F">
        <w:t xml:space="preserve">The agreement will need to be approved by ICB Primary Care Contracts and signed off by PCOG and PCCC as part of the ICB governance. </w:t>
      </w:r>
      <w:r w:rsidR="00FA1D60">
        <w:t xml:space="preserve">See later for relevant extracts of </w:t>
      </w:r>
      <w:r w:rsidRPr="004E1079">
        <w:t>GMS contract 15.9 Sub-contracting of clinical matters</w:t>
      </w:r>
      <w:r w:rsidR="00396A3F">
        <w:t>.</w:t>
      </w:r>
      <w:r w:rsidRPr="004E1079">
        <w:t xml:space="preserve"> </w:t>
      </w:r>
      <w:r w:rsidR="00396A3F">
        <w:t>The practice will need to confirm that it is reasonable to subcontract the service.</w:t>
      </w:r>
    </w:p>
    <w:p w14:paraId="594F661A" w14:textId="7289C091" w:rsidR="00D8762F" w:rsidRDefault="00FA1D60" w:rsidP="00396A3F">
      <w:pPr>
        <w:pStyle w:val="ListParagraph"/>
        <w:spacing w:before="120" w:after="120" w:line="276" w:lineRule="auto"/>
        <w:ind w:left="641" w:hanging="357"/>
        <w:contextualSpacing w:val="0"/>
      </w:pPr>
      <w:r>
        <w:t xml:space="preserve">The ICB will be looking for assurance </w:t>
      </w:r>
      <w:r w:rsidR="004774DF">
        <w:t>about</w:t>
      </w:r>
      <w:r>
        <w:t xml:space="preserve"> what due diligence </w:t>
      </w:r>
      <w:r w:rsidR="00396A3F">
        <w:t xml:space="preserve">the practice has undertaken and proposed contractual arrangements </w:t>
      </w:r>
      <w:r w:rsidR="00957FB9">
        <w:t>to</w:t>
      </w:r>
      <w:r>
        <w:t xml:space="preserve"> assure the providers suitability</w:t>
      </w:r>
      <w:r w:rsidR="00D8762F">
        <w:t xml:space="preserve"> e.g.</w:t>
      </w:r>
    </w:p>
    <w:p w14:paraId="395FCFC2" w14:textId="77777777" w:rsidR="00D8762F" w:rsidRDefault="00D8762F" w:rsidP="00D8762F">
      <w:pPr>
        <w:pStyle w:val="ListParagraph"/>
        <w:numPr>
          <w:ilvl w:val="1"/>
          <w:numId w:val="2"/>
        </w:numPr>
        <w:spacing w:before="0" w:after="80" w:line="276" w:lineRule="auto"/>
        <w:ind w:left="1434" w:hanging="357"/>
      </w:pPr>
      <w:r>
        <w:t>P</w:t>
      </w:r>
      <w:r w:rsidR="00FA1D60">
        <w:t xml:space="preserve">rofessional </w:t>
      </w:r>
      <w:r w:rsidR="00396A3F">
        <w:t xml:space="preserve">qualifications and </w:t>
      </w:r>
      <w:r w:rsidR="00FA1D60">
        <w:t>competency,</w:t>
      </w:r>
      <w:r w:rsidRPr="00D8762F">
        <w:t xml:space="preserve"> </w:t>
      </w:r>
    </w:p>
    <w:p w14:paraId="3C4FE743" w14:textId="034F5566" w:rsidR="00D8762F" w:rsidRDefault="00D8762F" w:rsidP="00D8762F">
      <w:pPr>
        <w:pStyle w:val="ListParagraph"/>
        <w:numPr>
          <w:ilvl w:val="1"/>
          <w:numId w:val="2"/>
        </w:numPr>
        <w:spacing w:before="0" w:after="80" w:line="276" w:lineRule="auto"/>
        <w:ind w:left="1434" w:hanging="357"/>
      </w:pPr>
      <w:r>
        <w:t>Insurance and professional indemnity</w:t>
      </w:r>
    </w:p>
    <w:p w14:paraId="1937BC9D" w14:textId="4FBF63B5" w:rsidR="00D8762F" w:rsidRDefault="00D8762F" w:rsidP="00D8762F">
      <w:pPr>
        <w:pStyle w:val="ListParagraph"/>
        <w:numPr>
          <w:ilvl w:val="1"/>
          <w:numId w:val="2"/>
        </w:numPr>
        <w:spacing w:before="0" w:after="80" w:line="276" w:lineRule="auto"/>
        <w:ind w:left="1434" w:hanging="357"/>
      </w:pPr>
      <w:r>
        <w:t>F</w:t>
      </w:r>
      <w:r w:rsidR="00FA1D60">
        <w:t>inancial con</w:t>
      </w:r>
      <w:r>
        <w:t>siderations</w:t>
      </w:r>
      <w:r w:rsidR="00FA1D60">
        <w:t xml:space="preserve"> </w:t>
      </w:r>
    </w:p>
    <w:p w14:paraId="2D9ECD08" w14:textId="77777777" w:rsidR="00D8762F" w:rsidRDefault="00D8762F" w:rsidP="00D8762F">
      <w:pPr>
        <w:pStyle w:val="ListParagraph"/>
        <w:numPr>
          <w:ilvl w:val="1"/>
          <w:numId w:val="2"/>
        </w:numPr>
        <w:spacing w:before="0" w:after="80" w:line="276" w:lineRule="auto"/>
        <w:ind w:left="1434" w:hanging="357"/>
      </w:pPr>
      <w:r>
        <w:t>S</w:t>
      </w:r>
      <w:r w:rsidR="00FA1D60">
        <w:t>afeguarding</w:t>
      </w:r>
    </w:p>
    <w:p w14:paraId="6C04CDD7" w14:textId="77777777" w:rsidR="00D8762F" w:rsidRPr="00D8762F" w:rsidRDefault="00D8762F" w:rsidP="00D8762F">
      <w:pPr>
        <w:pStyle w:val="ListParagraph"/>
        <w:numPr>
          <w:ilvl w:val="1"/>
          <w:numId w:val="2"/>
        </w:numPr>
        <w:spacing w:before="0" w:after="80" w:line="276" w:lineRule="auto"/>
        <w:ind w:left="1434" w:hanging="357"/>
      </w:pPr>
      <w:r>
        <w:t>R</w:t>
      </w:r>
      <w:r w:rsidR="00396A3F">
        <w:t xml:space="preserve">egistration </w:t>
      </w:r>
      <w:r>
        <w:t xml:space="preserve">of the company </w:t>
      </w:r>
      <w:r w:rsidR="00396A3F">
        <w:t xml:space="preserve">to meet all relevant digital governance requirements (ICO and </w:t>
      </w:r>
      <w:r w:rsidR="00396A3F" w:rsidRPr="00D8762F">
        <w:rPr>
          <w:rFonts w:cstheme="minorHAnsi"/>
        </w:rPr>
        <w:t>DSP Toolkit standards)</w:t>
      </w:r>
    </w:p>
    <w:p w14:paraId="19C98331" w14:textId="77777777" w:rsidR="00D8762F" w:rsidRPr="00D8762F" w:rsidRDefault="00D8762F" w:rsidP="00D8762F">
      <w:pPr>
        <w:pStyle w:val="ListParagraph"/>
        <w:numPr>
          <w:ilvl w:val="1"/>
          <w:numId w:val="2"/>
        </w:numPr>
        <w:spacing w:before="0" w:after="80" w:line="276" w:lineRule="auto"/>
        <w:ind w:left="1434" w:hanging="357"/>
      </w:pPr>
      <w:r>
        <w:t>D</w:t>
      </w:r>
      <w:r w:rsidR="00CF69F4" w:rsidRPr="00D8762F">
        <w:rPr>
          <w:rFonts w:cstheme="minorHAnsi"/>
        </w:rPr>
        <w:t>ata sharing and DPO approval,</w:t>
      </w:r>
      <w:r w:rsidR="00396A3F" w:rsidRPr="00D8762F">
        <w:rPr>
          <w:rFonts w:cstheme="minorHAnsi"/>
        </w:rPr>
        <w:t xml:space="preserve"> </w:t>
      </w:r>
    </w:p>
    <w:p w14:paraId="7F94E779" w14:textId="2BCE45EA" w:rsidR="00FA1D60" w:rsidRDefault="00D8762F" w:rsidP="00D8762F">
      <w:pPr>
        <w:pStyle w:val="ListParagraph"/>
        <w:numPr>
          <w:ilvl w:val="1"/>
          <w:numId w:val="2"/>
        </w:numPr>
        <w:spacing w:before="0" w:after="80" w:line="276" w:lineRule="auto"/>
        <w:ind w:left="1434" w:hanging="357"/>
      </w:pPr>
      <w:r>
        <w:t xml:space="preserve">Clear </w:t>
      </w:r>
      <w:r w:rsidR="00396A3F">
        <w:t>defin</w:t>
      </w:r>
      <w:r>
        <w:t xml:space="preserve">ition of services covered in the </w:t>
      </w:r>
      <w:r w:rsidR="00396A3F">
        <w:t>sub-contractual agreements</w:t>
      </w:r>
      <w:r w:rsidR="00FA1D60">
        <w:t>.</w:t>
      </w:r>
    </w:p>
    <w:p w14:paraId="235CDEED" w14:textId="77777777" w:rsidR="00D8762F" w:rsidRDefault="00D8762F" w:rsidP="00D8762F">
      <w:pPr>
        <w:pStyle w:val="ListParagraph"/>
        <w:numPr>
          <w:ilvl w:val="0"/>
          <w:numId w:val="0"/>
        </w:numPr>
        <w:spacing w:before="0" w:after="80" w:line="276" w:lineRule="auto"/>
        <w:ind w:left="1434"/>
      </w:pPr>
    </w:p>
    <w:p w14:paraId="066180FA" w14:textId="4F0EFEEF" w:rsidR="00FA1D60" w:rsidRDefault="00FA1D60" w:rsidP="00FA1D60">
      <w:pPr>
        <w:pStyle w:val="ListParagraph"/>
        <w:spacing w:before="120" w:after="120" w:line="276" w:lineRule="auto"/>
        <w:ind w:left="641" w:hanging="357"/>
        <w:contextualSpacing w:val="0"/>
      </w:pPr>
      <w:r>
        <w:t xml:space="preserve">The ICB has an obligation to respond to the practice within 28 days of the date of receiving notice </w:t>
      </w:r>
    </w:p>
    <w:p w14:paraId="0D56E8E0" w14:textId="77777777" w:rsidR="00402526" w:rsidRDefault="00402526" w:rsidP="00402526">
      <w:pPr>
        <w:spacing w:before="120" w:after="120" w:line="276" w:lineRule="auto"/>
      </w:pPr>
    </w:p>
    <w:p w14:paraId="628115DC" w14:textId="345709B8" w:rsidR="00C40D72" w:rsidRPr="00C40D72" w:rsidRDefault="00C40D72" w:rsidP="00FA1D60">
      <w:pPr>
        <w:pStyle w:val="ListParagraph"/>
        <w:spacing w:before="120" w:after="120" w:line="276" w:lineRule="auto"/>
        <w:ind w:left="641" w:hanging="357"/>
        <w:contextualSpacing w:val="0"/>
      </w:pPr>
      <w:r>
        <w:rPr>
          <w:color w:val="000000"/>
        </w:rPr>
        <w:lastRenderedPageBreak/>
        <w:t>CQC Regulation 19 require</w:t>
      </w:r>
      <w:r w:rsidR="005B527F">
        <w:rPr>
          <w:color w:val="000000"/>
        </w:rPr>
        <w:t>s</w:t>
      </w:r>
      <w:r>
        <w:rPr>
          <w:color w:val="000000"/>
        </w:rPr>
        <w:t xml:space="preserve"> the practice </w:t>
      </w:r>
      <w:r w:rsidR="005B527F">
        <w:rPr>
          <w:color w:val="000000"/>
        </w:rPr>
        <w:t xml:space="preserve">to be </w:t>
      </w:r>
      <w:r>
        <w:rPr>
          <w:color w:val="000000"/>
        </w:rPr>
        <w:t xml:space="preserve">assured </w:t>
      </w:r>
      <w:r w:rsidR="005B527F">
        <w:rPr>
          <w:color w:val="000000"/>
        </w:rPr>
        <w:t xml:space="preserve">that </w:t>
      </w:r>
      <w:r>
        <w:rPr>
          <w:color w:val="000000"/>
        </w:rPr>
        <w:t xml:space="preserve">the pharmacist prescriber has appropriate </w:t>
      </w:r>
      <w:r w:rsidR="005B527F">
        <w:rPr>
          <w:color w:val="000000"/>
        </w:rPr>
        <w:t>S</w:t>
      </w:r>
      <w:r w:rsidR="00FE318E">
        <w:rPr>
          <w:color w:val="000000"/>
        </w:rPr>
        <w:t>martcard</w:t>
      </w:r>
      <w:r>
        <w:rPr>
          <w:color w:val="000000"/>
        </w:rPr>
        <w:t xml:space="preserve"> registration, professional indemnity cover (see points later), DBS checks, and mandatory training checks</w:t>
      </w:r>
      <w:r w:rsidR="00957FB9">
        <w:rPr>
          <w:color w:val="000000"/>
        </w:rPr>
        <w:t xml:space="preserve">. </w:t>
      </w:r>
      <w:r>
        <w:rPr>
          <w:color w:val="000000"/>
        </w:rPr>
        <w:t xml:space="preserve">These </w:t>
      </w:r>
      <w:r w:rsidR="00957FB9">
        <w:rPr>
          <w:color w:val="000000"/>
        </w:rPr>
        <w:t xml:space="preserve">should </w:t>
      </w:r>
      <w:r>
        <w:rPr>
          <w:color w:val="000000"/>
        </w:rPr>
        <w:t>be included within any subcontracting arrangements.</w:t>
      </w:r>
    </w:p>
    <w:p w14:paraId="59D345F4" w14:textId="3A4ECE65" w:rsidR="00C40D72" w:rsidRDefault="00C40D72" w:rsidP="00FA1D60">
      <w:pPr>
        <w:pStyle w:val="ListParagraph"/>
        <w:spacing w:before="120" w:after="120" w:line="276" w:lineRule="auto"/>
        <w:ind w:left="641" w:hanging="357"/>
        <w:contextualSpacing w:val="0"/>
        <w:rPr>
          <w:rFonts w:ascii="Calibri" w:hAnsi="Calibri" w:cs="Calibri"/>
        </w:rPr>
      </w:pPr>
      <w:r>
        <w:t>CQC guidance is that NMPs should not prescribe outside their competency, and that practices have systems to make sure NMPs are working within their competence</w:t>
      </w:r>
      <w:r w:rsidR="00957FB9">
        <w:t xml:space="preserve">. </w:t>
      </w:r>
      <w:r w:rsidR="005B527F">
        <w:t xml:space="preserve">The professional indemnity for the pharmacist prescriber should identify their boundaries of scope of practice. </w:t>
      </w:r>
      <w:r>
        <w:t xml:space="preserve">If all </w:t>
      </w:r>
      <w:r w:rsidR="005B527F">
        <w:t xml:space="preserve">practice </w:t>
      </w:r>
      <w:r>
        <w:t>repeat prescribing is included within the arrangement</w:t>
      </w:r>
      <w:r w:rsidR="005B527F">
        <w:t xml:space="preserve"> the scope of practice would need to encompass this</w:t>
      </w:r>
      <w:r w:rsidR="004E1079">
        <w:t>.</w:t>
      </w:r>
      <w:r w:rsidR="00D8762F">
        <w:t xml:space="preserve"> See </w:t>
      </w:r>
      <w:hyperlink r:id="rId7" w:history="1">
        <w:r w:rsidR="00D8762F" w:rsidRPr="00D8762F">
          <w:rPr>
            <w:rStyle w:val="Hyperlink"/>
          </w:rPr>
          <w:t>Surrey Heartlands Non-Medical Prescribing guidelines</w:t>
        </w:r>
      </w:hyperlink>
      <w:r w:rsidR="00D8762F">
        <w:t>.</w:t>
      </w:r>
    </w:p>
    <w:p w14:paraId="3994AA80" w14:textId="37EA1B17" w:rsidR="00C40D72" w:rsidRDefault="004E1079" w:rsidP="00FA1D60">
      <w:pPr>
        <w:pStyle w:val="ListParagraph"/>
        <w:spacing w:before="120" w:after="120" w:line="276" w:lineRule="auto"/>
        <w:ind w:left="641" w:hanging="357"/>
        <w:contextualSpacing w:val="0"/>
      </w:pPr>
      <w:r>
        <w:t xml:space="preserve">The pharmacist prescriber must be registered with the ICB as a prescriber </w:t>
      </w:r>
      <w:r w:rsidR="00957FB9">
        <w:t>to</w:t>
      </w:r>
      <w:r>
        <w:t xml:space="preserve"> obtain a prescriber code. They should not </w:t>
      </w:r>
      <w:r w:rsidR="00FE318E">
        <w:t>prescribe</w:t>
      </w:r>
      <w:r>
        <w:t xml:space="preserve"> under a GP prescriber code.</w:t>
      </w:r>
      <w:r w:rsidR="00D8762F">
        <w:t xml:space="preserve"> See </w:t>
      </w:r>
      <w:hyperlink r:id="rId8" w:history="1">
        <w:r w:rsidR="00D8762F" w:rsidRPr="00D8762F">
          <w:rPr>
            <w:rStyle w:val="Hyperlink"/>
          </w:rPr>
          <w:t>Surrey Heartlands guidance on prescriber codes and cost centres</w:t>
        </w:r>
      </w:hyperlink>
      <w:r w:rsidR="00D8762F">
        <w:t>.</w:t>
      </w:r>
    </w:p>
    <w:p w14:paraId="724FC9B1" w14:textId="77777777" w:rsidR="004E1079" w:rsidRDefault="004E1079" w:rsidP="00FA1D60">
      <w:pPr>
        <w:pStyle w:val="ListParagraph"/>
        <w:numPr>
          <w:ilvl w:val="0"/>
          <w:numId w:val="0"/>
        </w:numPr>
        <w:ind w:left="644"/>
      </w:pPr>
    </w:p>
    <w:p w14:paraId="23B64331" w14:textId="5801B7AD" w:rsidR="004E1079" w:rsidRDefault="004E1079" w:rsidP="00FA1D60">
      <w:pPr>
        <w:pStyle w:val="Heading2"/>
      </w:pPr>
      <w:r>
        <w:t>References:</w:t>
      </w:r>
    </w:p>
    <w:p w14:paraId="2A4970F5" w14:textId="0745D1E1" w:rsidR="004E1079" w:rsidRDefault="00A500B0" w:rsidP="00324747">
      <w:pPr>
        <w:spacing w:before="100" w:beforeAutospacing="1" w:after="100" w:afterAutospacing="1" w:line="276" w:lineRule="auto"/>
        <w:contextualSpacing/>
        <w:rPr>
          <w:color w:val="000000"/>
        </w:rPr>
      </w:pPr>
      <w:hyperlink r:id="rId9" w:tgtFrame="_blank" w:history="1">
        <w:r w:rsidR="004E1079">
          <w:rPr>
            <w:rStyle w:val="Hyperlink"/>
          </w:rPr>
          <w:t>https://www.cqc.org.uk/guidance-providers/gps/gp-mythbuster-95-non-medical-prescribing</w:t>
        </w:r>
      </w:hyperlink>
    </w:p>
    <w:p w14:paraId="0FCD27CE" w14:textId="4AFD3257" w:rsidR="00FA1D60" w:rsidRDefault="00A500B0" w:rsidP="00324747">
      <w:pPr>
        <w:spacing w:before="100" w:beforeAutospacing="1" w:after="100" w:afterAutospacing="1" w:line="276" w:lineRule="auto"/>
        <w:contextualSpacing/>
        <w:rPr>
          <w:color w:val="000000"/>
        </w:rPr>
      </w:pPr>
      <w:hyperlink r:id="rId10" w:history="1">
        <w:r w:rsidR="00FA1D60" w:rsidRPr="00FA1D60">
          <w:rPr>
            <w:rStyle w:val="Hyperlink"/>
          </w:rPr>
          <w:t xml:space="preserve">Surrey Heartlands Non-Medical </w:t>
        </w:r>
        <w:r w:rsidR="00FE318E" w:rsidRPr="00FA1D60">
          <w:rPr>
            <w:rStyle w:val="Hyperlink"/>
          </w:rPr>
          <w:t>Prescriber’s</w:t>
        </w:r>
        <w:r w:rsidR="00FA1D60" w:rsidRPr="00FA1D60">
          <w:rPr>
            <w:rStyle w:val="Hyperlink"/>
          </w:rPr>
          <w:t xml:space="preserve"> Guidelines</w:t>
        </w:r>
      </w:hyperlink>
      <w:r w:rsidR="00FA1D60">
        <w:rPr>
          <w:color w:val="000000"/>
        </w:rPr>
        <w:t xml:space="preserve"> </w:t>
      </w:r>
    </w:p>
    <w:p w14:paraId="469F2046" w14:textId="6D03905D" w:rsidR="00FA1D60" w:rsidRDefault="00A500B0" w:rsidP="00324747">
      <w:pPr>
        <w:spacing w:before="100" w:beforeAutospacing="1" w:after="100" w:afterAutospacing="1" w:line="276" w:lineRule="auto"/>
        <w:contextualSpacing/>
        <w:rPr>
          <w:color w:val="000000"/>
        </w:rPr>
      </w:pPr>
      <w:hyperlink r:id="rId11" w:history="1">
        <w:r w:rsidR="00FA1D60" w:rsidRPr="00FA1D60">
          <w:rPr>
            <w:rStyle w:val="Hyperlink"/>
          </w:rPr>
          <w:t>Surrey Heartlands guidance on prescriber codes and cost centres</w:t>
        </w:r>
      </w:hyperlink>
    </w:p>
    <w:p w14:paraId="11992D7F" w14:textId="77777777" w:rsidR="00324747" w:rsidRDefault="00324747" w:rsidP="004E1079">
      <w:pPr>
        <w:rPr>
          <w:color w:val="44546A"/>
        </w:rPr>
      </w:pPr>
    </w:p>
    <w:p w14:paraId="372B43A9" w14:textId="448DDE62" w:rsidR="004E1079" w:rsidRDefault="004E1079" w:rsidP="004E1079">
      <w:pPr>
        <w:rPr>
          <w:color w:val="44546A"/>
        </w:rPr>
      </w:pPr>
      <w:r>
        <w:rPr>
          <w:color w:val="44546A"/>
        </w:rPr>
        <w:t>The leading sections from the GMS sub-contracting say:</w:t>
      </w:r>
    </w:p>
    <w:p w14:paraId="6221D72E" w14:textId="77777777" w:rsidR="004E1079" w:rsidRDefault="004E1079" w:rsidP="004E1079">
      <w:pPr>
        <w:ind w:left="720"/>
        <w:rPr>
          <w:color w:val="44546A"/>
        </w:rPr>
      </w:pPr>
      <w:r>
        <w:rPr>
          <w:color w:val="44546A"/>
        </w:rPr>
        <w:t xml:space="preserve">15.9. </w:t>
      </w:r>
      <w:r>
        <w:rPr>
          <w:i/>
          <w:iCs/>
          <w:color w:val="44546A"/>
        </w:rPr>
        <w:t>Sub-contracting of clinical matters</w:t>
      </w:r>
      <w:r>
        <w:rPr>
          <w:color w:val="44546A"/>
        </w:rPr>
        <w:t xml:space="preserve"> </w:t>
      </w:r>
    </w:p>
    <w:p w14:paraId="4748F799" w14:textId="77777777" w:rsidR="004E1079" w:rsidRDefault="004E1079" w:rsidP="004E1079">
      <w:pPr>
        <w:ind w:left="720"/>
        <w:rPr>
          <w:color w:val="44546A"/>
        </w:rPr>
      </w:pPr>
      <w:r>
        <w:rPr>
          <w:color w:val="44546A"/>
        </w:rPr>
        <w:t>15.9.1. Subject to clause 15.9.2, the Contractor must not sub-contract any of its rights or duties under the Contract in relation to clinical matters to any person unless:</w:t>
      </w:r>
    </w:p>
    <w:p w14:paraId="554F7409" w14:textId="77777777" w:rsidR="004E1079" w:rsidRDefault="004E1079" w:rsidP="004E1079">
      <w:pPr>
        <w:ind w:left="720" w:firstLine="720"/>
        <w:rPr>
          <w:color w:val="44546A"/>
        </w:rPr>
      </w:pPr>
      <w:r>
        <w:rPr>
          <w:color w:val="44546A"/>
        </w:rPr>
        <w:t xml:space="preserve">(a) in all cases, including those duties relating to out of hours services to which fall within clauses 15.10.1 to 15.10.15 it has taken reasonable steps to satisfy itself that: </w:t>
      </w:r>
    </w:p>
    <w:p w14:paraId="642353BC" w14:textId="77777777" w:rsidR="004E1079" w:rsidRDefault="004E1079" w:rsidP="004E1079">
      <w:pPr>
        <w:ind w:left="1440" w:firstLine="720"/>
        <w:rPr>
          <w:color w:val="44546A"/>
        </w:rPr>
      </w:pPr>
      <w:r>
        <w:rPr>
          <w:color w:val="44546A"/>
        </w:rPr>
        <w:lastRenderedPageBreak/>
        <w:t xml:space="preserve">(i) it is reasonable in all the circumstances to do so and </w:t>
      </w:r>
    </w:p>
    <w:p w14:paraId="3A5044AA" w14:textId="77777777" w:rsidR="004E1079" w:rsidRDefault="004E1079" w:rsidP="004E1079">
      <w:pPr>
        <w:ind w:left="1440" w:firstLine="720"/>
        <w:rPr>
          <w:color w:val="44546A"/>
        </w:rPr>
      </w:pPr>
      <w:r>
        <w:rPr>
          <w:color w:val="44546A"/>
        </w:rPr>
        <w:t>(ii) the person to whom any of those rights or duties are sub-contracted is qualified and competent to provide the service; and</w:t>
      </w:r>
    </w:p>
    <w:p w14:paraId="346700C8" w14:textId="0F6E99CF" w:rsidR="004E1079" w:rsidRDefault="004E1079" w:rsidP="004E1079">
      <w:pPr>
        <w:ind w:left="1440"/>
        <w:rPr>
          <w:color w:val="44546A"/>
        </w:rPr>
      </w:pPr>
      <w:r>
        <w:rPr>
          <w:color w:val="44546A"/>
        </w:rPr>
        <w:t xml:space="preserve">(b) except in cases which fall within clauses 15.10.1 to 15.10.15, the Contractor has given notice in writing to the Board of its intention to sub-contract as soon as reasonably practicable before the date on which the proposed sub-contract is intended to come into effect. </w:t>
      </w:r>
    </w:p>
    <w:p w14:paraId="3B5C4316" w14:textId="77777777" w:rsidR="004E1079" w:rsidRDefault="004E1079" w:rsidP="004E1079">
      <w:pPr>
        <w:rPr>
          <w:color w:val="44546A"/>
        </w:rPr>
      </w:pPr>
      <w:r>
        <w:rPr>
          <w:color w:val="44546A"/>
        </w:rPr>
        <w:t>Section 15.9.5 of the GMS contract states the following:</w:t>
      </w:r>
    </w:p>
    <w:p w14:paraId="5D867736" w14:textId="77777777" w:rsidR="004E1079" w:rsidRDefault="004E1079" w:rsidP="004E1079">
      <w:pPr>
        <w:rPr>
          <w:color w:val="44546A"/>
        </w:rPr>
      </w:pPr>
    </w:p>
    <w:p w14:paraId="0A9832C1" w14:textId="77777777" w:rsidR="004E1079" w:rsidRDefault="004E1079" w:rsidP="004E1079">
      <w:pPr>
        <w:rPr>
          <w:color w:val="44546A"/>
        </w:rPr>
      </w:pPr>
      <w:r>
        <w:rPr>
          <w:color w:val="44546A"/>
        </w:rPr>
        <w:t xml:space="preserve">15.9.5. The Contractor must not proceed with a sub-contract or, if the subcontract has already taken effect, the Contractor must take steps to terminate it, where: </w:t>
      </w:r>
    </w:p>
    <w:p w14:paraId="0BDFCB51" w14:textId="77777777" w:rsidR="004E1079" w:rsidRDefault="004E1079" w:rsidP="004E1079">
      <w:pPr>
        <w:ind w:firstLine="720"/>
        <w:rPr>
          <w:color w:val="44546A"/>
        </w:rPr>
      </w:pPr>
      <w:r>
        <w:rPr>
          <w:color w:val="44546A"/>
        </w:rPr>
        <w:t>(a) the Board gives notice in writing of its objection to the sub- contract on the grounds that the sub-contract would:</w:t>
      </w:r>
    </w:p>
    <w:p w14:paraId="2387948E" w14:textId="77777777" w:rsidR="004E1079" w:rsidRDefault="004E1079" w:rsidP="004E1079">
      <w:pPr>
        <w:ind w:left="720" w:firstLine="720"/>
        <w:rPr>
          <w:color w:val="44546A"/>
        </w:rPr>
      </w:pPr>
      <w:r>
        <w:rPr>
          <w:color w:val="44546A"/>
        </w:rPr>
        <w:t xml:space="preserve">(i) put the safety of patients at serious risk, or </w:t>
      </w:r>
    </w:p>
    <w:p w14:paraId="235AD2EB" w14:textId="77777777" w:rsidR="004E1079" w:rsidRDefault="004E1079" w:rsidP="004E1079">
      <w:pPr>
        <w:ind w:left="1440"/>
        <w:rPr>
          <w:color w:val="44546A"/>
        </w:rPr>
      </w:pPr>
      <w:r>
        <w:rPr>
          <w:color w:val="44546A"/>
        </w:rPr>
        <w:t>(ii) put the Board at risk of material financial loss; and notice is given by the Board before the end of the period of 28 days beginning with the date on which the Board received a notice from the Contractor under clause 15.9.1(b), or</w:t>
      </w:r>
    </w:p>
    <w:p w14:paraId="6E5A5836" w14:textId="77777777" w:rsidR="004E1079" w:rsidRDefault="004E1079" w:rsidP="004E1079">
      <w:pPr>
        <w:ind w:firstLine="720"/>
        <w:rPr>
          <w:color w:val="44546A"/>
        </w:rPr>
      </w:pPr>
      <w:r>
        <w:rPr>
          <w:color w:val="44546A"/>
        </w:rPr>
        <w:t>(b) the sub-contractor would be unable to meet the Contractor’s obligations under the Contract.</w:t>
      </w:r>
    </w:p>
    <w:p w14:paraId="210F613C" w14:textId="77777777" w:rsidR="004E1079" w:rsidRDefault="004E1079" w:rsidP="004E1079">
      <w:pPr>
        <w:ind w:left="1440"/>
        <w:rPr>
          <w:color w:val="44546A"/>
        </w:rPr>
      </w:pPr>
    </w:p>
    <w:p w14:paraId="6E95B605" w14:textId="77777777" w:rsidR="004E1079" w:rsidRDefault="004E1079" w:rsidP="004E1079">
      <w:pPr>
        <w:ind w:left="720"/>
        <w:rPr>
          <w:color w:val="44546A"/>
        </w:rPr>
      </w:pPr>
      <w:r>
        <w:rPr>
          <w:color w:val="44546A"/>
        </w:rPr>
        <w:t>15.9.2. Clause 15.9.1(b) does not apply to a contract for services with a health care professional for the provision by that professional personally of clinical services.</w:t>
      </w:r>
    </w:p>
    <w:sectPr w:rsidR="004E1079" w:rsidSect="0069395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658" w:right="1440" w:bottom="13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1E91" w14:textId="77777777" w:rsidR="004746A6" w:rsidRDefault="004746A6" w:rsidP="00785A96">
      <w:r>
        <w:separator/>
      </w:r>
    </w:p>
  </w:endnote>
  <w:endnote w:type="continuationSeparator" w:id="0">
    <w:p w14:paraId="4F079595" w14:textId="77777777" w:rsidR="004746A6" w:rsidRDefault="004746A6" w:rsidP="0078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822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B0A2C" w14:textId="5DE7E149" w:rsidR="009D32C4" w:rsidRDefault="009D3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B1149" w14:textId="098F7227" w:rsidR="00F833B6" w:rsidRDefault="00F833B6" w:rsidP="00785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77D4" w14:textId="63A8C995" w:rsidR="001B37AF" w:rsidRPr="00A500B0" w:rsidRDefault="001B37AF" w:rsidP="00402526">
    <w:pPr>
      <w:pStyle w:val="Footer"/>
      <w:spacing w:before="0" w:after="0"/>
      <w:rPr>
        <w:sz w:val="18"/>
        <w:szCs w:val="18"/>
      </w:rPr>
    </w:pPr>
    <w:r w:rsidRPr="00A500B0"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2A556CD1" wp14:editId="08F85E3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994" cy="10037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003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0B0" w:rsidRPr="00A500B0">
      <w:rPr>
        <w:sz w:val="18"/>
        <w:szCs w:val="18"/>
      </w:rPr>
      <w:t>Agreed by the Primary Care Medicines Optimisation Clinical Reference Group</w:t>
    </w:r>
    <w:r w:rsidR="00402526" w:rsidRPr="00A500B0">
      <w:rPr>
        <w:sz w:val="18"/>
        <w:szCs w:val="18"/>
      </w:rPr>
      <w:t xml:space="preserve"> January</w:t>
    </w:r>
    <w:r w:rsidR="00FA1D60" w:rsidRPr="00A500B0">
      <w:rPr>
        <w:sz w:val="18"/>
        <w:szCs w:val="18"/>
      </w:rPr>
      <w:t xml:space="preserve"> 202</w:t>
    </w:r>
    <w:r w:rsidR="00402526" w:rsidRPr="00A500B0">
      <w:rPr>
        <w:sz w:val="18"/>
        <w:szCs w:val="18"/>
      </w:rPr>
      <w:t>3</w:t>
    </w:r>
  </w:p>
  <w:p w14:paraId="5F7262E0" w14:textId="1CB0CD34" w:rsidR="00402526" w:rsidRPr="00A500B0" w:rsidRDefault="00402526" w:rsidP="00402526">
    <w:pPr>
      <w:pStyle w:val="Footer"/>
      <w:spacing w:before="0" w:after="0"/>
      <w:rPr>
        <w:sz w:val="18"/>
        <w:szCs w:val="18"/>
      </w:rPr>
    </w:pPr>
    <w:r w:rsidRPr="00A500B0">
      <w:rPr>
        <w:sz w:val="18"/>
        <w:szCs w:val="18"/>
      </w:rPr>
      <w:t>Review January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BA9E" w14:textId="77777777" w:rsidR="004746A6" w:rsidRDefault="004746A6" w:rsidP="00785A96">
      <w:r>
        <w:separator/>
      </w:r>
    </w:p>
  </w:footnote>
  <w:footnote w:type="continuationSeparator" w:id="0">
    <w:p w14:paraId="280522B0" w14:textId="77777777" w:rsidR="004746A6" w:rsidRDefault="004746A6" w:rsidP="0078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A092" w14:textId="77777777" w:rsidR="00F1794E" w:rsidRDefault="00F1794E" w:rsidP="00785A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96B3E3" wp14:editId="0B7FCF34">
          <wp:simplePos x="0" y="0"/>
          <wp:positionH relativeFrom="page">
            <wp:posOffset>289560</wp:posOffset>
          </wp:positionH>
          <wp:positionV relativeFrom="page">
            <wp:posOffset>281940</wp:posOffset>
          </wp:positionV>
          <wp:extent cx="763200" cy="763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BBA7" w14:textId="77777777" w:rsidR="0069395E" w:rsidRDefault="001B37A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2B3A4E" wp14:editId="7668B78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47388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473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02B"/>
    <w:multiLevelType w:val="multilevel"/>
    <w:tmpl w:val="B5307C2A"/>
    <w:styleLink w:val="CurrentList1"/>
    <w:lvl w:ilvl="0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2572"/>
    <w:multiLevelType w:val="hybridMultilevel"/>
    <w:tmpl w:val="790AF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DD523E"/>
    <w:multiLevelType w:val="multilevel"/>
    <w:tmpl w:val="3DC2BC22"/>
    <w:styleLink w:val="CurrentList2"/>
    <w:lvl w:ilvl="0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F5256"/>
    <w:multiLevelType w:val="hybridMultilevel"/>
    <w:tmpl w:val="A0BCBD48"/>
    <w:lvl w:ilvl="0" w:tplc="19D699FC">
      <w:start w:val="1"/>
      <w:numFmt w:val="bullet"/>
      <w:pStyle w:val="ListParagraph"/>
      <w:lvlText w:val=""/>
      <w:lvlJc w:val="left"/>
      <w:pPr>
        <w:ind w:left="644" w:hanging="360"/>
      </w:pPr>
      <w:rPr>
        <w:rFonts w:ascii="Wingdings" w:hAnsi="Wingdings" w:hint="default"/>
        <w:color w:val="18AFC3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E0423"/>
    <w:multiLevelType w:val="multilevel"/>
    <w:tmpl w:val="824AE260"/>
    <w:styleLink w:val="CurrentList3"/>
    <w:lvl w:ilvl="0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  <w:color w:val="18AFC3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96208">
    <w:abstractNumId w:val="1"/>
  </w:num>
  <w:num w:numId="2" w16cid:durableId="88164622">
    <w:abstractNumId w:val="3"/>
  </w:num>
  <w:num w:numId="3" w16cid:durableId="466437054">
    <w:abstractNumId w:val="3"/>
    <w:lvlOverride w:ilvl="0">
      <w:startOverride w:val="1"/>
    </w:lvlOverride>
  </w:num>
  <w:num w:numId="4" w16cid:durableId="758597328">
    <w:abstractNumId w:val="0"/>
  </w:num>
  <w:num w:numId="5" w16cid:durableId="1253398837">
    <w:abstractNumId w:val="2"/>
  </w:num>
  <w:num w:numId="6" w16cid:durableId="1527214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A6"/>
    <w:rsid w:val="000D1C17"/>
    <w:rsid w:val="001345EF"/>
    <w:rsid w:val="001B37AF"/>
    <w:rsid w:val="001C4606"/>
    <w:rsid w:val="00252A25"/>
    <w:rsid w:val="002778ED"/>
    <w:rsid w:val="00293825"/>
    <w:rsid w:val="002B16AD"/>
    <w:rsid w:val="0032186B"/>
    <w:rsid w:val="00324747"/>
    <w:rsid w:val="00331915"/>
    <w:rsid w:val="00396A3F"/>
    <w:rsid w:val="00402526"/>
    <w:rsid w:val="0040426A"/>
    <w:rsid w:val="00432E3A"/>
    <w:rsid w:val="004746A6"/>
    <w:rsid w:val="004774DF"/>
    <w:rsid w:val="004E1079"/>
    <w:rsid w:val="004E3315"/>
    <w:rsid w:val="00502111"/>
    <w:rsid w:val="00513C94"/>
    <w:rsid w:val="005B527F"/>
    <w:rsid w:val="00645B45"/>
    <w:rsid w:val="0069395E"/>
    <w:rsid w:val="00785A96"/>
    <w:rsid w:val="009444DF"/>
    <w:rsid w:val="009508B0"/>
    <w:rsid w:val="00957FB9"/>
    <w:rsid w:val="009D32C4"/>
    <w:rsid w:val="009E03A5"/>
    <w:rsid w:val="00A05748"/>
    <w:rsid w:val="00A47C6C"/>
    <w:rsid w:val="00A500B0"/>
    <w:rsid w:val="00A51954"/>
    <w:rsid w:val="00AB6151"/>
    <w:rsid w:val="00B429F5"/>
    <w:rsid w:val="00C358BE"/>
    <w:rsid w:val="00C40D72"/>
    <w:rsid w:val="00C60432"/>
    <w:rsid w:val="00C8767F"/>
    <w:rsid w:val="00C94EF1"/>
    <w:rsid w:val="00CF69F4"/>
    <w:rsid w:val="00D26F08"/>
    <w:rsid w:val="00D8762F"/>
    <w:rsid w:val="00DB1923"/>
    <w:rsid w:val="00DB4323"/>
    <w:rsid w:val="00DB7930"/>
    <w:rsid w:val="00F1794E"/>
    <w:rsid w:val="00F34487"/>
    <w:rsid w:val="00F45983"/>
    <w:rsid w:val="00F561F4"/>
    <w:rsid w:val="00F833B6"/>
    <w:rsid w:val="00FA1D60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B6603"/>
  <w15:chartTrackingRefBased/>
  <w15:docId w15:val="{8CC05EBA-873E-4E0C-92A0-BD101C5F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85A96"/>
    <w:pPr>
      <w:spacing w:before="240" w:after="360" w:line="320" w:lineRule="exac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95E"/>
    <w:pPr>
      <w:keepNext/>
      <w:keepLines/>
      <w:spacing w:before="360" w:after="240" w:line="400" w:lineRule="exact"/>
      <w:outlineLvl w:val="0"/>
    </w:pPr>
    <w:rPr>
      <w:rFonts w:eastAsiaTheme="majorEastAsia"/>
      <w:b/>
      <w:color w:val="103E66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954"/>
    <w:pPr>
      <w:keepNext/>
      <w:keepLines/>
      <w:spacing w:after="0"/>
      <w:outlineLvl w:val="1"/>
    </w:pPr>
    <w:rPr>
      <w:rFonts w:eastAsiaTheme="majorEastAsia"/>
      <w:b/>
      <w:bCs/>
      <w:color w:val="18AFC3" w:themeColor="accen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94E"/>
  </w:style>
  <w:style w:type="paragraph" w:styleId="Footer">
    <w:name w:val="footer"/>
    <w:basedOn w:val="Normal"/>
    <w:link w:val="FooterChar"/>
    <w:uiPriority w:val="99"/>
    <w:unhideWhenUsed/>
    <w:rsid w:val="00F17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94E"/>
  </w:style>
  <w:style w:type="character" w:customStyle="1" w:styleId="Heading1Char">
    <w:name w:val="Heading 1 Char"/>
    <w:basedOn w:val="DefaultParagraphFont"/>
    <w:link w:val="Heading1"/>
    <w:uiPriority w:val="9"/>
    <w:rsid w:val="0069395E"/>
    <w:rPr>
      <w:rFonts w:ascii="Arial" w:eastAsiaTheme="majorEastAsia" w:hAnsi="Arial" w:cs="Arial"/>
      <w:b/>
      <w:color w:val="103E66" w:themeColor="accent1"/>
      <w:sz w:val="44"/>
      <w:szCs w:val="32"/>
    </w:rPr>
  </w:style>
  <w:style w:type="paragraph" w:customStyle="1" w:styleId="BasicParagraph">
    <w:name w:val="[Basic Paragraph]"/>
    <w:basedOn w:val="Normal"/>
    <w:uiPriority w:val="99"/>
    <w:rsid w:val="0033191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rsid w:val="00331915"/>
  </w:style>
  <w:style w:type="character" w:customStyle="1" w:styleId="Heading2Char">
    <w:name w:val="Heading 2 Char"/>
    <w:basedOn w:val="DefaultParagraphFont"/>
    <w:link w:val="Heading2"/>
    <w:uiPriority w:val="9"/>
    <w:rsid w:val="00A51954"/>
    <w:rPr>
      <w:rFonts w:ascii="Arial" w:eastAsiaTheme="majorEastAsia" w:hAnsi="Arial" w:cs="Arial"/>
      <w:b/>
      <w:bCs/>
      <w:color w:val="18AFC3" w:themeColor="accent2"/>
      <w:sz w:val="32"/>
      <w:szCs w:val="32"/>
    </w:rPr>
  </w:style>
  <w:style w:type="paragraph" w:styleId="ListParagraph">
    <w:name w:val="List Paragraph"/>
    <w:basedOn w:val="Normal"/>
    <w:uiPriority w:val="34"/>
    <w:qFormat/>
    <w:rsid w:val="00432E3A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4E3315"/>
    <w:pPr>
      <w:numPr>
        <w:numId w:val="4"/>
      </w:numPr>
    </w:pPr>
  </w:style>
  <w:style w:type="numbering" w:customStyle="1" w:styleId="CurrentList2">
    <w:name w:val="Current List2"/>
    <w:uiPriority w:val="99"/>
    <w:rsid w:val="009508B0"/>
    <w:pPr>
      <w:numPr>
        <w:numId w:val="5"/>
      </w:numPr>
    </w:pPr>
  </w:style>
  <w:style w:type="paragraph" w:customStyle="1" w:styleId="CoverPageTitle">
    <w:name w:val="Cover Page Title"/>
    <w:basedOn w:val="Heading2"/>
    <w:qFormat/>
    <w:rsid w:val="00645B45"/>
    <w:pPr>
      <w:spacing w:before="0" w:line="720" w:lineRule="exact"/>
    </w:pPr>
    <w:rPr>
      <w:caps/>
      <w:color w:val="103E66" w:themeColor="accent1"/>
      <w:sz w:val="72"/>
    </w:rPr>
  </w:style>
  <w:style w:type="paragraph" w:customStyle="1" w:styleId="DateSubhead">
    <w:name w:val="Date Subhead"/>
    <w:basedOn w:val="Heading2"/>
    <w:qFormat/>
    <w:rsid w:val="00645B45"/>
    <w:pPr>
      <w:spacing w:before="0" w:line="480" w:lineRule="exact"/>
    </w:pPr>
    <w:rPr>
      <w:sz w:val="40"/>
    </w:rPr>
  </w:style>
  <w:style w:type="numbering" w:customStyle="1" w:styleId="CurrentList3">
    <w:name w:val="Current List3"/>
    <w:uiPriority w:val="99"/>
    <w:rsid w:val="00432E3A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4E10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4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26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26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reyccg.res-systems.net/PAD/Guidelines/Detail/497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rreyccg.res-systems.net/PAD/Guidelines/Detail/6246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rreyccg.res-systems.net/PAD/Guidelines/Detail/497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urreyccg.res-systems.net/PAD/Guidelines/Detail/6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qc.org.uk/guidance-providers/gps/gp-mythbuster-95-non-medical-prescribin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Helen.marlow\Downloads\Surrey_Heartlands_A4_Document_Template_rev_Jul_2022.dotx" TargetMode="External"/></Relationships>
</file>

<file path=word/theme/theme1.xml><?xml version="1.0" encoding="utf-8"?>
<a:theme xmlns:a="http://schemas.openxmlformats.org/drawingml/2006/main" name="Office Theme">
  <a:themeElements>
    <a:clrScheme name="SH Brand Colours 202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03E66"/>
      </a:accent1>
      <a:accent2>
        <a:srgbClr val="18AFC3"/>
      </a:accent2>
      <a:accent3>
        <a:srgbClr val="E84186"/>
      </a:accent3>
      <a:accent4>
        <a:srgbClr val="CECFDC"/>
      </a:accent4>
      <a:accent5>
        <a:srgbClr val="E1F0F3"/>
      </a:accent5>
      <a:accent6>
        <a:srgbClr val="FBE2EB"/>
      </a:accent6>
      <a:hlink>
        <a:srgbClr val="E84186"/>
      </a:hlink>
      <a:folHlink>
        <a:srgbClr val="92408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Surrey_Heartlands_A4_Document_Template_rev_Jul_2022.dotx</Template>
  <TotalTime>5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Marlow Helen (NHS Surrey Heartlands CCG)</dc:creator>
  <cp:keywords/>
  <dc:description/>
  <cp:lastModifiedBy>SOLOMONS, Kevin (NHS SURREY HEARTLANDS ICB - 92A)</cp:lastModifiedBy>
  <cp:revision>3</cp:revision>
  <dcterms:created xsi:type="dcterms:W3CDTF">2023-02-07T10:27:00Z</dcterms:created>
  <dcterms:modified xsi:type="dcterms:W3CDTF">2023-02-07T10:33:00Z</dcterms:modified>
</cp:coreProperties>
</file>